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562121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Potting up of cuttings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B95A8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tray of tubes from back of Nursery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knitting needle from back wall work bench, where cash register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9E62E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will give you tray of cuttings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6A43C3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rubber gloves from tool cupboard and put on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431F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E8157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2A0424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Take one tube from the back of the crate of tubes. So you are working from the back to the front.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121" w:rsidRPr="002A0424" w:rsidTr="00794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E8157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tube with potting mix to fingers length inside the tube</w:t>
            </w:r>
            <w:r w:rsidR="00562121">
              <w:rPr>
                <w:rFonts w:ascii="Arial" w:hAnsi="Arial" w:cs="Arial"/>
              </w:rPr>
              <w:t xml:space="preserve"> from the top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2A0424" w:rsidRDefault="0056212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2A0424" w:rsidRDefault="0056212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D4E" w:rsidRPr="002A0424" w:rsidTr="00667A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down tube to make sure potting mix is settled.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70D4E" w:rsidRPr="002A0424" w:rsidTr="002D6100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more potting mix in if the mix has gone down below the finger mark.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0D4E" w:rsidRPr="002A0424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with knitting needle place tip of needle in one corner, where the first cuttings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0D4E" w:rsidRPr="002A0424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needle in and </w:t>
            </w:r>
            <w:r w:rsidR="0030055F">
              <w:rPr>
                <w:rFonts w:ascii="Arial" w:hAnsi="Arial" w:cs="Arial"/>
              </w:rPr>
              <w:t>gently lift one of the cuttings</w:t>
            </w:r>
            <w:r>
              <w:rPr>
                <w:rFonts w:ascii="Arial" w:hAnsi="Arial" w:cs="Arial"/>
              </w:rPr>
              <w:t>. Do not pull the</w:t>
            </w:r>
            <w:r w:rsidR="0030055F">
              <w:rPr>
                <w:rFonts w:ascii="Arial" w:hAnsi="Arial" w:cs="Arial"/>
              </w:rPr>
              <w:t xml:space="preserve"> cutting</w:t>
            </w:r>
            <w:r>
              <w:rPr>
                <w:rFonts w:ascii="Arial" w:hAnsi="Arial" w:cs="Arial"/>
              </w:rPr>
              <w:t xml:space="preserve"> out.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70D4E" w:rsidRPr="002A0424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4E" w:rsidRPr="002A0424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With the other hand using your thumb and index finger gently lift the cutting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3A51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663C45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cutting</w:t>
            </w:r>
            <w:r w:rsidR="001B1A61">
              <w:rPr>
                <w:rFonts w:ascii="Arial" w:hAnsi="Arial" w:cs="Arial"/>
              </w:rPr>
              <w:t xml:space="preserve"> has no roots put it to one side and using the same procedure take the next one until you find one with roots on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70D4E" w:rsidRPr="002A0424" w:rsidTr="003A51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</w:t>
            </w:r>
            <w:r w:rsidR="0030055F">
              <w:rPr>
                <w:rFonts w:ascii="Arial" w:hAnsi="Arial" w:cs="Arial"/>
              </w:rPr>
              <w:t>cutting</w:t>
            </w:r>
            <w:r>
              <w:rPr>
                <w:rFonts w:ascii="Arial" w:hAnsi="Arial" w:cs="Arial"/>
              </w:rPr>
              <w:t xml:space="preserve"> in your hand dip the roots of the cutting into the container of water. Roots should be facing down.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70D4E" w:rsidRPr="002A0424" w:rsidTr="00723E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the </w:t>
            </w:r>
            <w:r w:rsidR="001B1A61">
              <w:rPr>
                <w:rFonts w:ascii="Arial" w:hAnsi="Arial" w:cs="Arial"/>
              </w:rPr>
              <w:t>cutting</w:t>
            </w:r>
            <w:r>
              <w:rPr>
                <w:rFonts w:ascii="Arial" w:hAnsi="Arial" w:cs="Arial"/>
              </w:rPr>
              <w:t xml:space="preserve"> to the tube with potting mix in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70D4E" w:rsidRPr="002A0424" w:rsidTr="008C07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6E5F04" w:rsidRDefault="00170D4E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Holding the cutting gently over the ce</w:t>
            </w:r>
            <w:r w:rsidR="005B72C3">
              <w:rPr>
                <w:rFonts w:ascii="Arial" w:hAnsi="Arial" w:cs="Arial"/>
                <w:bCs/>
              </w:rPr>
              <w:t xml:space="preserve">ntre of the tube. Roots must just be touching the potting mix in the </w:t>
            </w:r>
            <w:r>
              <w:rPr>
                <w:rFonts w:ascii="Arial" w:hAnsi="Arial" w:cs="Arial"/>
                <w:bCs/>
              </w:rPr>
              <w:t xml:space="preserve">tube and dangling down. The </w:t>
            </w:r>
            <w:r w:rsidR="001B1A61">
              <w:rPr>
                <w:rFonts w:ascii="Arial" w:hAnsi="Arial" w:cs="Arial"/>
                <w:bCs/>
              </w:rPr>
              <w:t>bottom</w:t>
            </w:r>
            <w:r w:rsidR="005B72C3">
              <w:rPr>
                <w:rFonts w:ascii="Arial" w:hAnsi="Arial" w:cs="Arial"/>
                <w:bCs/>
              </w:rPr>
              <w:t xml:space="preserve"> stem of the cutting </w:t>
            </w:r>
            <w:r w:rsidR="001B1A61">
              <w:rPr>
                <w:rFonts w:ascii="Arial" w:hAnsi="Arial" w:cs="Arial"/>
                <w:bCs/>
              </w:rPr>
              <w:t xml:space="preserve"> should be just below</w:t>
            </w:r>
            <w:r>
              <w:rPr>
                <w:rFonts w:ascii="Arial" w:hAnsi="Arial" w:cs="Arial"/>
                <w:bCs/>
              </w:rPr>
              <w:t xml:space="preserve"> the tube</w:t>
            </w:r>
            <w:r w:rsidR="001B1A6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D4E" w:rsidRPr="002A0424" w:rsidRDefault="00170D4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0D4E" w:rsidRPr="002A0424" w:rsidRDefault="00170D4E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30055F" w:rsidRDefault="001B1A61" w:rsidP="00E209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055F">
              <w:rPr>
                <w:rFonts w:ascii="Arial" w:hAnsi="Arial" w:cs="Arial"/>
                <w:bCs/>
                <w:sz w:val="22"/>
                <w:szCs w:val="22"/>
              </w:rPr>
              <w:t xml:space="preserve">With the other hand take a small amount of potting mix on your table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B94B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1B1A61" w:rsidP="00E20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Gently place around tube while still holding cutting in place with other hand.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190FF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E20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Keeping getting potting mix until the mix is to the top of the tube.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3D6D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1B1A6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Gently firm down potting mix </w:t>
            </w:r>
            <w:r w:rsidR="0030055F">
              <w:rPr>
                <w:rFonts w:ascii="Arial" w:hAnsi="Arial" w:cs="Arial"/>
              </w:rPr>
              <w:t>in tube around the cutting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98157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1B1A6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more potting mix in tube if needed.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7410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cutting is standing up straight, and centred, in the tube.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AC07E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1B1A6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 finished tube back in place of the tray where it came from.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Repeat the process taking the next tube where the other cuttings is so you are going in a ling across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1B1A61" w:rsidP="00E20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When taking the next cutting out of tray make sure it comes from the next to the cutting you have already taken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1B1A61" w:rsidRPr="002A0424" w:rsidTr="00300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E8157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Default="0030055F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Follow same steps as No.14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A61" w:rsidRPr="002A0424" w:rsidRDefault="001B1A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1A61" w:rsidRPr="002A0424" w:rsidRDefault="001B1A61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30055F" w:rsidRPr="002A0424" w:rsidTr="00300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Default="0030055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Default="0030055F" w:rsidP="00E20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until tray is done.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30055F" w:rsidRPr="002A0424" w:rsidTr="000959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Default="0030055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Default="0030055F" w:rsidP="00E20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See Task Analysis Watering in plants.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55F" w:rsidRPr="002A0424" w:rsidRDefault="0030055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F" w:rsidRPr="002A0424" w:rsidRDefault="0030055F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EE" w:rsidRDefault="000409EE" w:rsidP="00BC3D34">
      <w:r>
        <w:separator/>
      </w:r>
    </w:p>
  </w:endnote>
  <w:endnote w:type="continuationSeparator" w:id="0">
    <w:p w:rsidR="000409EE" w:rsidRDefault="000409EE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B95A83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SET-09 Potting up of Cuttings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20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EE" w:rsidRDefault="000409EE" w:rsidP="00BC3D34">
      <w:r>
        <w:separator/>
      </w:r>
    </w:p>
  </w:footnote>
  <w:footnote w:type="continuationSeparator" w:id="0">
    <w:p w:rsidR="000409EE" w:rsidRDefault="000409EE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794B13" wp14:editId="1E41F5CA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581677C" wp14:editId="506BB4A5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D732041" wp14:editId="44A967A2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B95A83">
      <w:rPr>
        <w:rFonts w:ascii="Book Antiqua" w:hAnsi="Book Antiqua" w:cs="Tahoma"/>
        <w:b/>
        <w:sz w:val="28"/>
        <w:szCs w:val="28"/>
      </w:rPr>
      <w:t>Potting up of Cuttings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09EE"/>
    <w:rsid w:val="000B20E6"/>
    <w:rsid w:val="00111B55"/>
    <w:rsid w:val="00166F21"/>
    <w:rsid w:val="00170D4E"/>
    <w:rsid w:val="00193DBF"/>
    <w:rsid w:val="001B1A61"/>
    <w:rsid w:val="001E59EA"/>
    <w:rsid w:val="002455CD"/>
    <w:rsid w:val="00246A26"/>
    <w:rsid w:val="002A0424"/>
    <w:rsid w:val="0030055F"/>
    <w:rsid w:val="003A2274"/>
    <w:rsid w:val="003E5459"/>
    <w:rsid w:val="00405D0A"/>
    <w:rsid w:val="004206BD"/>
    <w:rsid w:val="004E1D5A"/>
    <w:rsid w:val="00522419"/>
    <w:rsid w:val="005267DC"/>
    <w:rsid w:val="00562121"/>
    <w:rsid w:val="005B72C3"/>
    <w:rsid w:val="005B7675"/>
    <w:rsid w:val="00663C45"/>
    <w:rsid w:val="006D2A86"/>
    <w:rsid w:val="00716C78"/>
    <w:rsid w:val="00731D91"/>
    <w:rsid w:val="00777554"/>
    <w:rsid w:val="008042F4"/>
    <w:rsid w:val="00845510"/>
    <w:rsid w:val="008A562C"/>
    <w:rsid w:val="00A17CC4"/>
    <w:rsid w:val="00A26B81"/>
    <w:rsid w:val="00A36B96"/>
    <w:rsid w:val="00AA62CE"/>
    <w:rsid w:val="00AD28E5"/>
    <w:rsid w:val="00AF0733"/>
    <w:rsid w:val="00B95A83"/>
    <w:rsid w:val="00BA79CE"/>
    <w:rsid w:val="00BC3D34"/>
    <w:rsid w:val="00D3480A"/>
    <w:rsid w:val="00DC3B2B"/>
    <w:rsid w:val="00DD77CF"/>
    <w:rsid w:val="00DF765B"/>
    <w:rsid w:val="00E81575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2015-08-11T04:25:00Z</cp:lastPrinted>
  <dcterms:created xsi:type="dcterms:W3CDTF">2015-10-20T01:48:00Z</dcterms:created>
  <dcterms:modified xsi:type="dcterms:W3CDTF">2015-10-20T01:48:00Z</dcterms:modified>
</cp:coreProperties>
</file>